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BrCCC Meeting Agenda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(October 24, 2024)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President’s Report (Mike Geary)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Behaviors at union meetings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Ground rules for meetings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creating White paper committee  (time limit 10 minutes)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Role is to create an accurate representation of what has happened and is happening at Bristol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Volunteers acknowledged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Intended strategy associated with this move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Presidential search update (finalists in mid to late November)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Vacancies for Chapter Bylaws Committee, Distance Ed Committee Rep, Membership Chair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</w:t>
        <w:tab/>
        <w:t xml:space="preserve">Statewide initiative to increase our salaries (JP Nadeau, Colleen Avedikian)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Joe Nardoni to attend next meeting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Modality change: in person only - invite will be updated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3.    </w:t>
        <w:tab/>
      </w:r>
      <w:r w:rsidDel="00000000" w:rsidR="00000000" w:rsidRPr="00000000">
        <w:rPr>
          <w:rtl w:val="0"/>
        </w:rPr>
        <w:t xml:space="preserve">Chapter Director Report (JP Nadeau)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CAT Reps needed: Day and DCE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i w:val="1"/>
          <w:rtl w:val="0"/>
        </w:rPr>
        <w:t xml:space="preserve">The following items will be addressed if time allows: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SAC Report (Strategic action comm) Colleen Avedikian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MACER Report (Anthony Ucci)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Grievance Report (Anthony Ucci)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DCE Rep at Large Report (Stacie Charbonneau Hess)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Professional Staff Rep Report (Marcus)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Next meeting: Mon November 25th,  3:00-4:00 PM  in-person only - room TBD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